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附件一:</w:t>
      </w:r>
    </w:p>
    <w:tbl>
      <w:tblPr>
        <w:tblStyle w:val="2"/>
        <w:tblW w:w="8725" w:type="dxa"/>
        <w:jc w:val="center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6"/>
        <w:gridCol w:w="2993"/>
        <w:gridCol w:w="15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87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bottom"/>
              <w:outlineLvl w:val="9"/>
              <w:rPr>
                <w:rFonts w:ascii="Arial" w:hAnsi="Arial" w:eastAsia="宋体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2017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年学校新增专业情况统计表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二年级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湖南三一工业职业技术学院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计算机应用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湖南医药职业中等专业学校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眼视光与配镜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长沙华中涉外职业高中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长沙市中远职业中专学校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长沙市中远职业中专学校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长沙汽车工业学校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机电技术应用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长沙湘江科技中等职业学校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长沙湘江科技中等职业学校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长沙经贸职业中专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计算机应用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长沙经贸职业中专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长沙航天学校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长沙航天学校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汽车整车与配件营销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长沙航天学校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长沙财经学校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西餐烹饪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长沙银河中等职业学校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长沙市现代商贸中等职业学校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计算机应用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长沙市现代商贸中等职业学校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长沙市现代商贸中等职业学校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长沙市现代商贸中等职业学校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宁乡经开区科技工业学校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计算机应用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宁乡经开区科技工业学校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社会文化艺术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宁乡经开区科技工业学校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美术设计与制作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浏阳市三联工业学校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机电技术应用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浏阳市职业中专</w:t>
            </w:r>
          </w:p>
        </w:tc>
        <w:tc>
          <w:tcPr>
            <w:tcW w:w="2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汽车制造与检修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C2920"/>
    <w:rsid w:val="48B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eastAsia" w:ascii="宋体" w:hAnsi="宋体" w:eastAsia="宋体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2019-06-05T09:04:00Z</dcterms:created>
  <dc:creator>魏雪琪</dc:creator>
  <cp:lastModifiedBy>魏雪琪</cp:lastModifiedBy>
  <dcterms:modified xsi:type="dcterms:W3CDTF">2019-06-05T09:04:48Z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